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color w:val="000000"/>
          <w:kern w:val="0"/>
          <w:sz w:val="28"/>
          <w:szCs w:val="28"/>
        </w:rPr>
      </w:pPr>
      <w:r>
        <w:rPr>
          <w:rFonts w:hint="eastAsia" w:ascii="宋体" w:hAnsi="宋体"/>
          <w:b/>
          <w:sz w:val="24"/>
          <w:szCs w:val="24"/>
        </w:rPr>
        <w:t>附件</w:t>
      </w:r>
      <w:r>
        <w:rPr>
          <w:rFonts w:hint="eastAsia" w:ascii="宋体" w:hAnsi="宋体"/>
          <w:b/>
          <w:sz w:val="24"/>
          <w:szCs w:val="24"/>
          <w:lang w:val="en-US" w:eastAsia="zh-CN"/>
        </w:rPr>
        <w:t>1</w:t>
      </w:r>
      <w:bookmarkStart w:id="0" w:name="_GoBack"/>
      <w:bookmarkEnd w:id="0"/>
    </w:p>
    <w:p>
      <w:pPr>
        <w:jc w:val="center"/>
        <w:rPr>
          <w:rFonts w:ascii="宋体"/>
          <w:b/>
          <w:sz w:val="28"/>
          <w:szCs w:val="28"/>
        </w:rPr>
      </w:pPr>
      <w:r>
        <w:rPr>
          <w:rFonts w:hint="eastAsia" w:ascii="宋体" w:hAnsi="宋体"/>
          <w:b/>
          <w:bCs/>
          <w:color w:val="000000"/>
          <w:kern w:val="0"/>
          <w:sz w:val="28"/>
          <w:szCs w:val="28"/>
        </w:rPr>
        <w:t>商务</w:t>
      </w:r>
      <w:r>
        <w:rPr>
          <w:rFonts w:hint="eastAsia" w:ascii="宋体" w:hAnsi="宋体"/>
          <w:b/>
          <w:sz w:val="28"/>
          <w:szCs w:val="28"/>
        </w:rPr>
        <w:t>评分表</w:t>
      </w:r>
    </w:p>
    <w:tbl>
      <w:tblPr>
        <w:tblStyle w:val="3"/>
        <w:tblW w:w="1005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56"/>
        <w:gridCol w:w="62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20" w:hRule="atLeast"/>
          <w:jc w:val="center"/>
        </w:trPr>
        <w:tc>
          <w:tcPr>
            <w:tcW w:w="3856" w:type="dxa"/>
            <w:vAlign w:val="center"/>
          </w:tcPr>
          <w:p>
            <w:pPr>
              <w:jc w:val="center"/>
              <w:rPr>
                <w:rFonts w:ascii="宋体"/>
                <w:szCs w:val="21"/>
              </w:rPr>
            </w:pPr>
            <w:r>
              <w:rPr>
                <w:rFonts w:hint="eastAsia" w:ascii="宋体" w:hAnsi="宋体"/>
                <w:szCs w:val="21"/>
              </w:rPr>
              <w:t>评审内容</w:t>
            </w:r>
          </w:p>
        </w:tc>
        <w:tc>
          <w:tcPr>
            <w:tcW w:w="6202" w:type="dxa"/>
            <w:vAlign w:val="center"/>
          </w:tcPr>
          <w:p>
            <w:pPr>
              <w:jc w:val="center"/>
              <w:rPr>
                <w:rFonts w:ascii="宋体"/>
                <w:szCs w:val="21"/>
                <w:u w:val="single"/>
              </w:rPr>
            </w:pPr>
            <w:r>
              <w:rPr>
                <w:rFonts w:hint="eastAsia" w:ascii="宋体" w:hAnsi="宋体"/>
                <w:szCs w:val="21"/>
              </w:rPr>
              <w:t>分   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69" w:hRule="atLeast"/>
          <w:jc w:val="center"/>
        </w:trPr>
        <w:tc>
          <w:tcPr>
            <w:tcW w:w="3856" w:type="dxa"/>
            <w:vAlign w:val="center"/>
          </w:tcPr>
          <w:p>
            <w:pPr>
              <w:rPr>
                <w:rFonts w:ascii="宋体"/>
                <w:szCs w:val="21"/>
              </w:rPr>
            </w:pPr>
            <w:r>
              <w:rPr>
                <w:rFonts w:ascii="宋体" w:hAnsi="宋体"/>
                <w:szCs w:val="21"/>
              </w:rPr>
              <w:t>201</w:t>
            </w:r>
            <w:r>
              <w:rPr>
                <w:rFonts w:hint="eastAsia" w:ascii="宋体" w:hAnsi="宋体"/>
                <w:szCs w:val="21"/>
              </w:rPr>
              <w:t>4年至今承接的广东省内医疗机构的评价方案设计服务项目、提供第三方评价服务项目情况进行评分，同时提供合同复印件。（20分）</w:t>
            </w:r>
          </w:p>
        </w:tc>
        <w:tc>
          <w:tcPr>
            <w:tcW w:w="6202" w:type="dxa"/>
            <w:vAlign w:val="center"/>
          </w:tcPr>
          <w:p>
            <w:pPr>
              <w:pStyle w:val="4"/>
              <w:numPr>
                <w:ilvl w:val="0"/>
                <w:numId w:val="0"/>
              </w:numPr>
              <w:ind w:leftChars="0"/>
              <w:jc w:val="left"/>
              <w:rPr>
                <w:rFonts w:ascii="宋体" w:hAnsi="宋体"/>
                <w:szCs w:val="21"/>
              </w:rPr>
            </w:pPr>
            <w:r>
              <w:rPr>
                <w:rFonts w:hint="eastAsia" w:ascii="宋体" w:hAnsi="宋体"/>
                <w:szCs w:val="21"/>
                <w:lang w:val="en-US" w:eastAsia="zh-CN"/>
              </w:rPr>
              <w:t>1.</w:t>
            </w:r>
            <w:r>
              <w:rPr>
                <w:rFonts w:hint="eastAsia" w:ascii="宋体" w:hAnsi="宋体"/>
                <w:szCs w:val="21"/>
              </w:rPr>
              <w:t>（满分为10分）项目金额在人民币5万元（含）以上的得10分；项目金额在人民币2万元（含）以上、5万元以下得7分；</w:t>
            </w:r>
          </w:p>
          <w:p>
            <w:pPr>
              <w:pStyle w:val="4"/>
              <w:ind w:left="360" w:firstLine="0" w:firstLineChars="0"/>
              <w:jc w:val="left"/>
              <w:rPr>
                <w:rFonts w:ascii="宋体" w:hAnsi="宋体"/>
                <w:szCs w:val="21"/>
              </w:rPr>
            </w:pPr>
            <w:r>
              <w:rPr>
                <w:rFonts w:hint="eastAsia" w:ascii="宋体" w:hAnsi="宋体"/>
                <w:szCs w:val="21"/>
              </w:rPr>
              <w:t>项目金额在人民币2万元以下得5分；</w:t>
            </w:r>
          </w:p>
          <w:p>
            <w:pPr>
              <w:pStyle w:val="4"/>
              <w:ind w:left="360" w:firstLine="0" w:firstLineChars="0"/>
              <w:jc w:val="left"/>
              <w:rPr>
                <w:rFonts w:ascii="宋体" w:hAnsi="宋体"/>
                <w:szCs w:val="21"/>
              </w:rPr>
            </w:pPr>
            <w:r>
              <w:rPr>
                <w:rFonts w:hint="eastAsia" w:ascii="宋体" w:hAnsi="宋体"/>
                <w:szCs w:val="21"/>
              </w:rPr>
              <w:t>无：0分。</w:t>
            </w:r>
          </w:p>
          <w:p>
            <w:pPr>
              <w:ind w:left="315" w:hanging="315" w:hangingChars="150"/>
              <w:rPr>
                <w:rFonts w:ascii="宋体" w:hAnsi="宋体"/>
                <w:szCs w:val="21"/>
              </w:rPr>
            </w:pPr>
            <w:r>
              <w:rPr>
                <w:rFonts w:hint="eastAsia" w:ascii="宋体" w:hAnsi="宋体"/>
                <w:szCs w:val="21"/>
                <w:lang w:val="en-US" w:eastAsia="zh-CN"/>
              </w:rPr>
              <w:t>2.</w:t>
            </w:r>
            <w:r>
              <w:rPr>
                <w:rFonts w:hint="eastAsia" w:ascii="宋体" w:hAnsi="宋体"/>
                <w:szCs w:val="21"/>
              </w:rPr>
              <w:t>（满分为10分）承接广东省内卫生医疗机构的评价方案设计服务、提供第三方评价服务项目得分：10分；</w:t>
            </w:r>
          </w:p>
          <w:p>
            <w:pPr>
              <w:ind w:left="315" w:leftChars="150"/>
              <w:rPr>
                <w:rFonts w:ascii="宋体" w:hAnsi="宋体"/>
                <w:szCs w:val="21"/>
              </w:rPr>
            </w:pPr>
            <w:r>
              <w:rPr>
                <w:rFonts w:hint="eastAsia" w:ascii="宋体" w:hAnsi="宋体"/>
                <w:szCs w:val="21"/>
              </w:rPr>
              <w:t>承接非卫生医疗机构的评价方案设计服务、提供第三方评价服务项目得分：7分</w:t>
            </w:r>
          </w:p>
          <w:p>
            <w:pPr>
              <w:pStyle w:val="4"/>
              <w:ind w:left="360" w:firstLine="0" w:firstLineChars="0"/>
              <w:jc w:val="left"/>
              <w:rPr>
                <w:rFonts w:ascii="宋体" w:hAnsi="宋体"/>
                <w:szCs w:val="21"/>
              </w:rPr>
            </w:pPr>
            <w:r>
              <w:rPr>
                <w:rFonts w:hint="eastAsia" w:ascii="宋体" w:hAnsi="宋体"/>
                <w:szCs w:val="21"/>
              </w:rPr>
              <w:t>无：0分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77" w:hRule="atLeast"/>
          <w:jc w:val="center"/>
        </w:trPr>
        <w:tc>
          <w:tcPr>
            <w:tcW w:w="3856" w:type="dxa"/>
            <w:vAlign w:val="center"/>
          </w:tcPr>
          <w:p>
            <w:pPr>
              <w:rPr>
                <w:rFonts w:ascii="宋体"/>
                <w:szCs w:val="21"/>
                <w:highlight w:val="none"/>
              </w:rPr>
            </w:pPr>
            <w:r>
              <w:rPr>
                <w:rFonts w:ascii="宋体" w:hAnsi="宋体"/>
                <w:szCs w:val="21"/>
                <w:highlight w:val="none"/>
              </w:rPr>
              <w:t>201</w:t>
            </w:r>
            <w:r>
              <w:rPr>
                <w:rFonts w:hint="eastAsia" w:ascii="宋体" w:hAnsi="宋体"/>
                <w:szCs w:val="21"/>
                <w:highlight w:val="none"/>
              </w:rPr>
              <w:t>4年至今承接的广东省内医疗机构的党建评价方案及指标设计并执行党建评价服务项目。请投标单位提供先关服务合同复印件（</w:t>
            </w:r>
            <w:r>
              <w:rPr>
                <w:rFonts w:ascii="宋体" w:hAnsi="宋体"/>
                <w:szCs w:val="21"/>
                <w:highlight w:val="none"/>
              </w:rPr>
              <w:t>10</w:t>
            </w:r>
            <w:r>
              <w:rPr>
                <w:rFonts w:hint="eastAsia" w:ascii="宋体" w:hAnsi="宋体"/>
                <w:szCs w:val="21"/>
                <w:highlight w:val="none"/>
              </w:rPr>
              <w:t>分）</w:t>
            </w:r>
          </w:p>
        </w:tc>
        <w:tc>
          <w:tcPr>
            <w:tcW w:w="6202" w:type="dxa"/>
            <w:vAlign w:val="center"/>
          </w:tcPr>
          <w:p>
            <w:pPr>
              <w:ind w:left="420" w:hanging="420" w:hangingChars="200"/>
              <w:jc w:val="left"/>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w:t>
            </w:r>
            <w:r>
              <w:rPr>
                <w:rFonts w:hint="eastAsia" w:ascii="宋体" w:hAnsi="宋体"/>
                <w:szCs w:val="21"/>
                <w:highlight w:val="none"/>
              </w:rPr>
              <w:t>（满分为10分）项目金额在人民币5万元（含）以上的得10分；项目金额在人民币2万元（含）以上、5万元以下得7分；</w:t>
            </w:r>
          </w:p>
          <w:p>
            <w:pPr>
              <w:pStyle w:val="4"/>
              <w:ind w:left="360" w:firstLine="0" w:firstLineChars="0"/>
              <w:jc w:val="left"/>
              <w:rPr>
                <w:rFonts w:ascii="宋体" w:hAnsi="宋体"/>
                <w:szCs w:val="21"/>
                <w:highlight w:val="none"/>
              </w:rPr>
            </w:pPr>
            <w:r>
              <w:rPr>
                <w:rFonts w:hint="eastAsia" w:ascii="宋体" w:hAnsi="宋体"/>
                <w:szCs w:val="21"/>
                <w:highlight w:val="none"/>
              </w:rPr>
              <w:t>项目金额在人民币2万元以下得5分；</w:t>
            </w:r>
          </w:p>
          <w:p>
            <w:pPr>
              <w:ind w:firstLine="420" w:firstLineChars="200"/>
              <w:rPr>
                <w:rFonts w:ascii="宋体"/>
                <w:szCs w:val="21"/>
                <w:highlight w:val="none"/>
              </w:rPr>
            </w:pPr>
            <w:r>
              <w:rPr>
                <w:rFonts w:hint="eastAsia" w:ascii="宋体" w:hAnsi="宋体"/>
                <w:szCs w:val="21"/>
                <w:highlight w:val="none"/>
              </w:rPr>
              <w:t>无：0分。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85" w:hRule="atLeast"/>
          <w:jc w:val="center"/>
        </w:trPr>
        <w:tc>
          <w:tcPr>
            <w:tcW w:w="3856" w:type="dxa"/>
            <w:vAlign w:val="center"/>
          </w:tcPr>
          <w:p>
            <w:pPr>
              <w:rPr>
                <w:rFonts w:ascii="宋体"/>
                <w:szCs w:val="21"/>
              </w:rPr>
            </w:pPr>
            <w:r>
              <w:rPr>
                <w:rFonts w:hint="eastAsia" w:ascii="宋体" w:hAnsi="宋体" w:cs="Tahoma"/>
                <w:kern w:val="28"/>
                <w:szCs w:val="21"/>
              </w:rPr>
              <w:t>具有</w:t>
            </w:r>
            <w:r>
              <w:rPr>
                <w:rFonts w:hint="eastAsia" w:ascii="宋体" w:hAnsi="宋体"/>
                <w:szCs w:val="21"/>
              </w:rPr>
              <w:t>评价方案设计及提供评价服务或企业管理咨询的经营范围（提供营业执照复印件）（5分）</w:t>
            </w:r>
          </w:p>
        </w:tc>
        <w:tc>
          <w:tcPr>
            <w:tcW w:w="6202" w:type="dxa"/>
            <w:vAlign w:val="center"/>
          </w:tcPr>
          <w:p>
            <w:pPr>
              <w:snapToGrid w:val="0"/>
              <w:rPr>
                <w:rFonts w:ascii="宋体"/>
                <w:szCs w:val="21"/>
              </w:rPr>
            </w:pPr>
            <w:r>
              <w:rPr>
                <w:rFonts w:hint="eastAsia" w:ascii="宋体" w:hAnsi="宋体" w:cs="Tahoma"/>
                <w:kern w:val="28"/>
                <w:szCs w:val="21"/>
              </w:rPr>
              <w:t>具有</w:t>
            </w:r>
            <w:r>
              <w:rPr>
                <w:rFonts w:hint="eastAsia" w:ascii="宋体" w:hAnsi="宋体"/>
                <w:szCs w:val="21"/>
              </w:rPr>
              <w:t>评价方案设计及提供评价服务经营范围：5分</w:t>
            </w:r>
          </w:p>
          <w:p>
            <w:pPr>
              <w:snapToGrid w:val="0"/>
              <w:rPr>
                <w:rFonts w:ascii="宋体"/>
                <w:szCs w:val="21"/>
              </w:rPr>
            </w:pPr>
            <w:r>
              <w:rPr>
                <w:rFonts w:hint="eastAsia" w:ascii="宋体" w:hAnsi="宋体"/>
                <w:szCs w:val="21"/>
              </w:rPr>
              <w:t>具有企业管理咨询的经营范围：3分</w:t>
            </w:r>
          </w:p>
          <w:p>
            <w:pPr>
              <w:snapToGrid w:val="0"/>
              <w:rPr>
                <w:rFonts w:ascii="宋体"/>
                <w:szCs w:val="21"/>
              </w:rPr>
            </w:pPr>
            <w:r>
              <w:rPr>
                <w:rFonts w:hint="eastAsia" w:ascii="宋体" w:hAnsi="宋体"/>
                <w:szCs w:val="21"/>
              </w:rPr>
              <w:t>无：</w:t>
            </w:r>
            <w:r>
              <w:rPr>
                <w:rFonts w:ascii="宋体"/>
                <w:szCs w:val="21"/>
              </w:rPr>
              <w:t>0</w:t>
            </w:r>
            <w:r>
              <w:rPr>
                <w:rFonts w:hint="eastAsia" w:ascii="宋体" w:hAnsi="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94" w:hRule="atLeast"/>
          <w:jc w:val="center"/>
        </w:trPr>
        <w:tc>
          <w:tcPr>
            <w:tcW w:w="3856" w:type="dxa"/>
            <w:vAlign w:val="center"/>
          </w:tcPr>
          <w:p>
            <w:pPr>
              <w:rPr>
                <w:rFonts w:ascii="宋体"/>
                <w:szCs w:val="21"/>
              </w:rPr>
            </w:pPr>
            <w:r>
              <w:rPr>
                <w:rFonts w:hint="eastAsia" w:ascii="宋体" w:hAnsi="宋体"/>
              </w:rPr>
              <w:t>投标人及其法定代表人、项目负责人无行贿犯罪记录</w:t>
            </w:r>
            <w:r>
              <w:rPr>
                <w:rFonts w:hint="eastAsia" w:ascii="宋体" w:hAnsi="宋体"/>
                <w:szCs w:val="21"/>
              </w:rPr>
              <w:t>（提供</w:t>
            </w:r>
            <w:r>
              <w:rPr>
                <w:rFonts w:hint="eastAsia" w:ascii="宋体" w:hAnsi="宋体"/>
              </w:rPr>
              <w:t>人民检察院出具的2个月有效期内的投标人及其法定代表人、项目负责人在前三年内无行贿犯罪记录证明</w:t>
            </w:r>
            <w:r>
              <w:rPr>
                <w:rFonts w:hint="eastAsia" w:ascii="宋体" w:hAnsi="宋体"/>
                <w:szCs w:val="21"/>
              </w:rPr>
              <w:t>）（5分）</w:t>
            </w:r>
          </w:p>
        </w:tc>
        <w:tc>
          <w:tcPr>
            <w:tcW w:w="6202" w:type="dxa"/>
            <w:vAlign w:val="center"/>
          </w:tcPr>
          <w:p>
            <w:pPr>
              <w:snapToGrid w:val="0"/>
              <w:rPr>
                <w:rFonts w:ascii="宋体"/>
                <w:szCs w:val="21"/>
              </w:rPr>
            </w:pPr>
            <w:r>
              <w:rPr>
                <w:rFonts w:hint="eastAsia" w:ascii="宋体" w:hAnsi="宋体"/>
                <w:szCs w:val="21"/>
              </w:rPr>
              <w:t>有：5分</w:t>
            </w:r>
          </w:p>
          <w:p>
            <w:pPr>
              <w:snapToGrid w:val="0"/>
              <w:rPr>
                <w:rFonts w:ascii="宋体"/>
                <w:szCs w:val="21"/>
              </w:rPr>
            </w:pPr>
            <w:r>
              <w:rPr>
                <w:rFonts w:hint="eastAsia" w:ascii="宋体" w:hAnsi="宋体"/>
                <w:szCs w:val="21"/>
              </w:rPr>
              <w:t>无：</w:t>
            </w:r>
            <w:r>
              <w:rPr>
                <w:rFonts w:ascii="宋体"/>
                <w:szCs w:val="21"/>
              </w:rPr>
              <w:t>0</w:t>
            </w:r>
            <w:r>
              <w:rPr>
                <w:rFonts w:hint="eastAsia" w:ascii="宋体" w:hAnsi="宋体"/>
                <w:szCs w:val="21"/>
              </w:rPr>
              <w:t>分</w:t>
            </w:r>
          </w:p>
        </w:tc>
      </w:tr>
    </w:tbl>
    <w:p>
      <w:pPr>
        <w:rPr>
          <w:rFonts w:ascii="宋体" w:hAnsi="宋体"/>
          <w:b/>
          <w:bCs/>
          <w:color w:val="000000"/>
          <w:szCs w:val="21"/>
        </w:rPr>
      </w:pPr>
      <w:r>
        <w:rPr>
          <w:rFonts w:hint="eastAsia" w:ascii="宋体" w:hAnsi="宋体"/>
          <w:b/>
          <w:bCs/>
          <w:color w:val="000000"/>
          <w:szCs w:val="21"/>
        </w:rPr>
        <w:t>备注：⑴招标文件要求提交的与评价指标体系相关的各类有效资料，投标人如未按要求提交的，该项评分为零分；⑵仅对已通过初步评审的投标文件进行评分；评分小数点保留至</w:t>
      </w:r>
      <w:r>
        <w:rPr>
          <w:rFonts w:ascii="宋体" w:hAnsi="宋体"/>
          <w:b/>
          <w:bCs/>
          <w:color w:val="000000"/>
          <w:szCs w:val="21"/>
        </w:rPr>
        <w:t>0.1</w:t>
      </w:r>
      <w:r>
        <w:rPr>
          <w:rFonts w:hint="eastAsia" w:ascii="宋体" w:hAnsi="宋体"/>
          <w:b/>
          <w:bCs/>
          <w:color w:val="000000"/>
          <w:szCs w:val="21"/>
        </w:rPr>
        <w:t>；</w:t>
      </w:r>
    </w:p>
    <w:p>
      <w:pPr>
        <w:jc w:val="center"/>
        <w:rPr>
          <w:rFonts w:hint="eastAsia" w:ascii="宋体" w:hAnsi="宋体"/>
          <w:b/>
          <w:bCs/>
          <w:color w:val="000000"/>
          <w:sz w:val="28"/>
          <w:szCs w:val="28"/>
        </w:rPr>
      </w:pPr>
    </w:p>
    <w:p>
      <w:pPr>
        <w:jc w:val="center"/>
        <w:rPr>
          <w:rFonts w:hint="eastAsia" w:ascii="宋体" w:hAnsi="宋体"/>
          <w:b/>
          <w:bCs/>
          <w:color w:val="000000"/>
          <w:sz w:val="28"/>
          <w:szCs w:val="28"/>
        </w:rPr>
      </w:pPr>
    </w:p>
    <w:p>
      <w:pPr>
        <w:jc w:val="center"/>
        <w:rPr>
          <w:rFonts w:hint="eastAsia" w:ascii="宋体" w:hAnsi="宋体"/>
          <w:b/>
          <w:bCs/>
          <w:color w:val="000000"/>
          <w:sz w:val="28"/>
          <w:szCs w:val="28"/>
        </w:rPr>
      </w:pPr>
    </w:p>
    <w:p>
      <w:pPr>
        <w:jc w:val="center"/>
        <w:rPr>
          <w:rFonts w:hint="eastAsia" w:ascii="宋体" w:hAnsi="宋体"/>
          <w:b/>
          <w:bCs/>
          <w:color w:val="000000"/>
          <w:sz w:val="28"/>
          <w:szCs w:val="28"/>
        </w:rPr>
      </w:pPr>
    </w:p>
    <w:p>
      <w:pPr>
        <w:jc w:val="center"/>
        <w:rPr>
          <w:rFonts w:ascii="宋体"/>
          <w:b/>
          <w:bCs/>
          <w:color w:val="000000"/>
          <w:sz w:val="28"/>
          <w:szCs w:val="28"/>
        </w:rPr>
      </w:pPr>
      <w:r>
        <w:rPr>
          <w:rFonts w:hint="eastAsia" w:ascii="宋体" w:hAnsi="宋体"/>
          <w:b/>
          <w:bCs/>
          <w:color w:val="000000"/>
          <w:sz w:val="28"/>
          <w:szCs w:val="28"/>
        </w:rPr>
        <w:t>服务评分表</w:t>
      </w:r>
    </w:p>
    <w:tbl>
      <w:tblPr>
        <w:tblStyle w:val="3"/>
        <w:tblW w:w="9714" w:type="dxa"/>
        <w:jc w:val="center"/>
        <w:tblInd w:w="0" w:type="dxa"/>
        <w:tblLayout w:type="fixed"/>
        <w:tblCellMar>
          <w:top w:w="0" w:type="dxa"/>
          <w:left w:w="108" w:type="dxa"/>
          <w:bottom w:w="0" w:type="dxa"/>
          <w:right w:w="108" w:type="dxa"/>
        </w:tblCellMar>
      </w:tblPr>
      <w:tblGrid>
        <w:gridCol w:w="3212"/>
        <w:gridCol w:w="6502"/>
      </w:tblGrid>
      <w:tr>
        <w:tblPrEx>
          <w:tblLayout w:type="fixed"/>
          <w:tblCellMar>
            <w:top w:w="0" w:type="dxa"/>
            <w:left w:w="108" w:type="dxa"/>
            <w:bottom w:w="0" w:type="dxa"/>
            <w:right w:w="108" w:type="dxa"/>
          </w:tblCellMar>
        </w:tblPrEx>
        <w:trPr>
          <w:trHeight w:val="383" w:hRule="atLeast"/>
          <w:jc w:val="center"/>
        </w:trPr>
        <w:tc>
          <w:tcPr>
            <w:tcW w:w="3212" w:type="dxa"/>
            <w:tcBorders>
              <w:top w:val="single" w:color="auto" w:sz="12" w:space="0"/>
              <w:left w:val="single" w:color="auto" w:sz="12" w:space="0"/>
              <w:bottom w:val="single" w:color="auto" w:sz="6" w:space="0"/>
              <w:right w:val="single" w:color="auto" w:sz="6" w:space="0"/>
            </w:tcBorders>
            <w:vAlign w:val="center"/>
          </w:tcPr>
          <w:p>
            <w:pPr>
              <w:jc w:val="center"/>
              <w:rPr>
                <w:rFonts w:ascii="宋体"/>
                <w:szCs w:val="21"/>
              </w:rPr>
            </w:pPr>
            <w:r>
              <w:rPr>
                <w:rFonts w:hint="eastAsia" w:ascii="宋体" w:hAnsi="宋体"/>
                <w:szCs w:val="21"/>
              </w:rPr>
              <w:t>评审内容</w:t>
            </w:r>
          </w:p>
        </w:tc>
        <w:tc>
          <w:tcPr>
            <w:tcW w:w="6502" w:type="dxa"/>
            <w:tcBorders>
              <w:top w:val="single" w:color="auto" w:sz="12" w:space="0"/>
              <w:left w:val="single" w:color="auto" w:sz="6" w:space="0"/>
              <w:bottom w:val="single" w:color="auto" w:sz="6" w:space="0"/>
              <w:right w:val="single" w:color="auto" w:sz="12" w:space="0"/>
            </w:tcBorders>
            <w:vAlign w:val="center"/>
          </w:tcPr>
          <w:p>
            <w:pPr>
              <w:jc w:val="center"/>
              <w:rPr>
                <w:rFonts w:ascii="宋体"/>
                <w:szCs w:val="21"/>
                <w:u w:val="single"/>
              </w:rPr>
            </w:pPr>
            <w:r>
              <w:rPr>
                <w:rFonts w:hint="eastAsia" w:ascii="宋体" w:hAnsi="宋体"/>
                <w:szCs w:val="21"/>
              </w:rPr>
              <w:t>分值</w:t>
            </w:r>
          </w:p>
        </w:tc>
      </w:tr>
      <w:tr>
        <w:tblPrEx>
          <w:tblLayout w:type="fixed"/>
          <w:tblCellMar>
            <w:top w:w="0" w:type="dxa"/>
            <w:left w:w="108" w:type="dxa"/>
            <w:bottom w:w="0" w:type="dxa"/>
            <w:right w:w="108" w:type="dxa"/>
          </w:tblCellMar>
        </w:tblPrEx>
        <w:trPr>
          <w:trHeight w:val="2077" w:hRule="atLeast"/>
          <w:jc w:val="center"/>
        </w:trPr>
        <w:tc>
          <w:tcPr>
            <w:tcW w:w="3212" w:type="dxa"/>
            <w:tcBorders>
              <w:top w:val="single" w:color="auto" w:sz="6" w:space="0"/>
              <w:left w:val="single" w:color="auto" w:sz="12" w:space="0"/>
              <w:bottom w:val="single" w:color="auto" w:sz="6" w:space="0"/>
              <w:right w:val="single" w:color="auto" w:sz="6" w:space="0"/>
            </w:tcBorders>
            <w:vAlign w:val="center"/>
          </w:tcPr>
          <w:p>
            <w:pPr>
              <w:widowControl/>
              <w:rPr>
                <w:rFonts w:ascii="宋体"/>
                <w:szCs w:val="21"/>
              </w:rPr>
            </w:pPr>
            <w:r>
              <w:rPr>
                <w:rFonts w:hint="eastAsia" w:ascii="宋体" w:hAnsi="宋体"/>
                <w:szCs w:val="21"/>
              </w:rPr>
              <w:t>管理效能及绩效评价方案和党建评价方案的设计意念和主体框架（2</w:t>
            </w:r>
            <w:r>
              <w:rPr>
                <w:rFonts w:ascii="宋体" w:hAnsi="宋体"/>
                <w:szCs w:val="21"/>
              </w:rPr>
              <w:t>0</w:t>
            </w:r>
            <w:r>
              <w:rPr>
                <w:rFonts w:hint="eastAsia" w:ascii="宋体" w:hAnsi="宋体"/>
                <w:szCs w:val="21"/>
              </w:rPr>
              <w:t>分）</w:t>
            </w:r>
          </w:p>
        </w:tc>
        <w:tc>
          <w:tcPr>
            <w:tcW w:w="6502" w:type="dxa"/>
            <w:tcBorders>
              <w:top w:val="single" w:color="auto" w:sz="6" w:space="0"/>
              <w:left w:val="single" w:color="auto" w:sz="6" w:space="0"/>
              <w:bottom w:val="single" w:color="auto" w:sz="6" w:space="0"/>
              <w:right w:val="single" w:color="auto" w:sz="12" w:space="0"/>
            </w:tcBorders>
            <w:vAlign w:val="center"/>
          </w:tcPr>
          <w:p>
            <w:pPr>
              <w:rPr>
                <w:rFonts w:ascii="宋体"/>
                <w:szCs w:val="21"/>
              </w:rPr>
            </w:pPr>
            <w:r>
              <w:rPr>
                <w:rFonts w:hint="eastAsia" w:ascii="宋体" w:hAnsi="宋体"/>
                <w:szCs w:val="21"/>
              </w:rPr>
              <w:t>有管理效能及绩效评价方案和党建评价方案的设计意念和主体框架，目标明确、计划详细、合理可行。13</w:t>
            </w:r>
            <w:r>
              <w:rPr>
                <w:rFonts w:ascii="宋体" w:hAnsi="宋体"/>
                <w:szCs w:val="21"/>
              </w:rPr>
              <w:t>-</w:t>
            </w:r>
            <w:r>
              <w:rPr>
                <w:rFonts w:hint="eastAsia" w:ascii="宋体" w:hAnsi="宋体"/>
                <w:szCs w:val="21"/>
              </w:rPr>
              <w:t>2</w:t>
            </w:r>
            <w:r>
              <w:rPr>
                <w:rFonts w:ascii="宋体" w:hAnsi="宋体"/>
                <w:szCs w:val="21"/>
              </w:rPr>
              <w:t xml:space="preserve">0 </w:t>
            </w:r>
            <w:r>
              <w:rPr>
                <w:rFonts w:hint="eastAsia" w:ascii="宋体" w:hAnsi="宋体"/>
                <w:szCs w:val="21"/>
              </w:rPr>
              <w:t>分</w:t>
            </w:r>
          </w:p>
          <w:p>
            <w:pPr>
              <w:rPr>
                <w:rFonts w:ascii="宋体"/>
                <w:szCs w:val="21"/>
              </w:rPr>
            </w:pPr>
            <w:r>
              <w:rPr>
                <w:rFonts w:hint="eastAsia" w:ascii="宋体" w:hAnsi="宋体"/>
                <w:szCs w:val="21"/>
              </w:rPr>
              <w:t>有管理效能及绩效评价方案和党建评价方案的设计意念和主体框架，目标基本明确、计划基本合理可行，措施基本得当。8</w:t>
            </w:r>
            <w:r>
              <w:rPr>
                <w:rFonts w:ascii="宋体" w:hAnsi="宋体"/>
                <w:szCs w:val="21"/>
              </w:rPr>
              <w:t>-</w:t>
            </w:r>
            <w:r>
              <w:rPr>
                <w:rFonts w:hint="eastAsia" w:ascii="宋体" w:hAnsi="宋体"/>
                <w:szCs w:val="21"/>
              </w:rPr>
              <w:t>12</w:t>
            </w:r>
            <w:r>
              <w:rPr>
                <w:rFonts w:ascii="宋体" w:hAnsi="宋体"/>
                <w:szCs w:val="21"/>
              </w:rPr>
              <w:t xml:space="preserve"> </w:t>
            </w:r>
            <w:r>
              <w:rPr>
                <w:rFonts w:hint="eastAsia" w:ascii="宋体" w:hAnsi="宋体"/>
                <w:szCs w:val="21"/>
              </w:rPr>
              <w:t>分</w:t>
            </w:r>
          </w:p>
          <w:p>
            <w:pPr>
              <w:rPr>
                <w:rFonts w:ascii="宋体"/>
                <w:szCs w:val="21"/>
              </w:rPr>
            </w:pPr>
            <w:r>
              <w:rPr>
                <w:rFonts w:hint="eastAsia" w:ascii="宋体" w:hAnsi="宋体"/>
                <w:szCs w:val="21"/>
              </w:rPr>
              <w:t>有管理效能及绩效评价方案和党建评价方案的设计意念和主体框架，目标大体明确、计划不全，有漏项。</w:t>
            </w:r>
            <w:r>
              <w:rPr>
                <w:rFonts w:ascii="宋体" w:hAnsi="宋体"/>
                <w:szCs w:val="21"/>
              </w:rPr>
              <w:t>0-</w:t>
            </w:r>
            <w:r>
              <w:rPr>
                <w:rFonts w:hint="eastAsia" w:ascii="宋体" w:hAnsi="宋体"/>
                <w:szCs w:val="21"/>
              </w:rPr>
              <w:t>7</w:t>
            </w:r>
            <w:r>
              <w:rPr>
                <w:rFonts w:ascii="宋体" w:hAnsi="宋体"/>
                <w:szCs w:val="21"/>
              </w:rPr>
              <w:t xml:space="preserve"> </w:t>
            </w:r>
            <w:r>
              <w:rPr>
                <w:rFonts w:hint="eastAsia" w:ascii="宋体" w:hAnsi="宋体"/>
                <w:szCs w:val="21"/>
              </w:rPr>
              <w:t>分</w:t>
            </w:r>
          </w:p>
        </w:tc>
      </w:tr>
      <w:tr>
        <w:tblPrEx>
          <w:tblLayout w:type="fixed"/>
          <w:tblCellMar>
            <w:top w:w="0" w:type="dxa"/>
            <w:left w:w="108" w:type="dxa"/>
            <w:bottom w:w="0" w:type="dxa"/>
            <w:right w:w="108" w:type="dxa"/>
          </w:tblCellMar>
        </w:tblPrEx>
        <w:trPr>
          <w:trHeight w:val="2658" w:hRule="atLeast"/>
          <w:jc w:val="center"/>
        </w:trPr>
        <w:tc>
          <w:tcPr>
            <w:tcW w:w="3212" w:type="dxa"/>
            <w:tcBorders>
              <w:top w:val="single" w:color="auto" w:sz="6" w:space="0"/>
              <w:left w:val="single" w:color="auto" w:sz="12" w:space="0"/>
              <w:bottom w:val="single" w:color="auto" w:sz="6" w:space="0"/>
              <w:right w:val="single" w:color="auto" w:sz="6" w:space="0"/>
            </w:tcBorders>
            <w:vAlign w:val="center"/>
          </w:tcPr>
          <w:p>
            <w:pPr>
              <w:rPr>
                <w:rFonts w:ascii="宋体"/>
                <w:szCs w:val="21"/>
              </w:rPr>
            </w:pPr>
            <w:r>
              <w:rPr>
                <w:rFonts w:hint="eastAsia" w:ascii="宋体" w:hAnsi="宋体"/>
                <w:szCs w:val="21"/>
              </w:rPr>
              <w:t>提供第三方管理效能及绩效评价和党建评价服务的实施方案及计划（2</w:t>
            </w:r>
            <w:r>
              <w:rPr>
                <w:rFonts w:ascii="宋体" w:hAnsi="宋体"/>
                <w:szCs w:val="21"/>
              </w:rPr>
              <w:t>0</w:t>
            </w:r>
            <w:r>
              <w:rPr>
                <w:rFonts w:hint="eastAsia" w:ascii="宋体" w:hAnsi="宋体"/>
                <w:szCs w:val="21"/>
              </w:rPr>
              <w:t>分）</w:t>
            </w:r>
          </w:p>
        </w:tc>
        <w:tc>
          <w:tcPr>
            <w:tcW w:w="6502" w:type="dxa"/>
            <w:tcBorders>
              <w:top w:val="single" w:color="auto" w:sz="6" w:space="0"/>
              <w:left w:val="single" w:color="auto" w:sz="6" w:space="0"/>
              <w:bottom w:val="single" w:color="auto" w:sz="6" w:space="0"/>
              <w:right w:val="single" w:color="auto" w:sz="12" w:space="0"/>
            </w:tcBorders>
            <w:vAlign w:val="center"/>
          </w:tcPr>
          <w:p>
            <w:pPr>
              <w:widowControl/>
              <w:rPr>
                <w:rFonts w:ascii="宋体"/>
                <w:szCs w:val="21"/>
              </w:rPr>
            </w:pPr>
            <w:r>
              <w:rPr>
                <w:rFonts w:hint="eastAsia" w:ascii="宋体" w:hAnsi="宋体"/>
                <w:szCs w:val="21"/>
              </w:rPr>
              <w:t>投标公司能根据第三方评价服务项目的特点，清楚描述项目实施方案，能满足招标单位的需求，有清晰的服务实施方案和计划，且服务实施方案和计划能满足项目真实需要。13</w:t>
            </w:r>
            <w:r>
              <w:rPr>
                <w:rFonts w:ascii="宋体" w:hAnsi="宋体"/>
                <w:szCs w:val="21"/>
              </w:rPr>
              <w:t>-</w:t>
            </w:r>
            <w:r>
              <w:rPr>
                <w:rFonts w:hint="eastAsia" w:ascii="宋体" w:hAnsi="宋体"/>
                <w:szCs w:val="21"/>
              </w:rPr>
              <w:t>2</w:t>
            </w:r>
            <w:r>
              <w:rPr>
                <w:rFonts w:ascii="宋体" w:hAnsi="宋体"/>
                <w:szCs w:val="21"/>
              </w:rPr>
              <w:t xml:space="preserve">0 </w:t>
            </w:r>
            <w:r>
              <w:rPr>
                <w:rFonts w:hint="eastAsia" w:ascii="宋体" w:hAnsi="宋体"/>
                <w:szCs w:val="21"/>
              </w:rPr>
              <w:t>分</w:t>
            </w:r>
          </w:p>
          <w:p>
            <w:pPr>
              <w:widowControl/>
              <w:rPr>
                <w:rFonts w:ascii="宋体"/>
                <w:szCs w:val="21"/>
              </w:rPr>
            </w:pPr>
            <w:r>
              <w:rPr>
                <w:rFonts w:hint="eastAsia" w:ascii="宋体" w:hAnsi="宋体"/>
                <w:szCs w:val="21"/>
              </w:rPr>
              <w:t>投标公司对第三方评价服务的实施方案描述基本清楚，并基本能满足招标单位的需求和项目的特点，有服务实施方案和计划，基本能满足项目需要。8</w:t>
            </w:r>
            <w:r>
              <w:rPr>
                <w:rFonts w:ascii="宋体" w:hAnsi="宋体"/>
                <w:szCs w:val="21"/>
              </w:rPr>
              <w:t>-</w:t>
            </w:r>
            <w:r>
              <w:rPr>
                <w:rFonts w:hint="eastAsia" w:ascii="宋体" w:hAnsi="宋体"/>
                <w:szCs w:val="21"/>
              </w:rPr>
              <w:t>12</w:t>
            </w:r>
            <w:r>
              <w:rPr>
                <w:rFonts w:ascii="宋体" w:hAnsi="宋体"/>
                <w:szCs w:val="21"/>
              </w:rPr>
              <w:t xml:space="preserve"> </w:t>
            </w:r>
            <w:r>
              <w:rPr>
                <w:rFonts w:hint="eastAsia" w:ascii="宋体" w:hAnsi="宋体"/>
                <w:szCs w:val="21"/>
              </w:rPr>
              <w:t>分</w:t>
            </w:r>
          </w:p>
          <w:p>
            <w:pPr>
              <w:widowControl/>
              <w:rPr>
                <w:rFonts w:ascii="宋体"/>
                <w:szCs w:val="21"/>
              </w:rPr>
            </w:pPr>
            <w:r>
              <w:rPr>
                <w:rFonts w:hint="eastAsia" w:ascii="宋体" w:hAnsi="宋体"/>
                <w:szCs w:val="21"/>
              </w:rPr>
              <w:t>投标公司有第三方评价服务的实施方案和计划，担描述不清楚，未能满足招标单位的需求和项目特点，无服务方案或表述不清。</w:t>
            </w:r>
            <w:r>
              <w:rPr>
                <w:rFonts w:ascii="宋体" w:hAnsi="宋体"/>
                <w:szCs w:val="21"/>
              </w:rPr>
              <w:t>0-</w:t>
            </w:r>
            <w:r>
              <w:rPr>
                <w:rFonts w:hint="eastAsia" w:ascii="宋体" w:hAnsi="宋体"/>
                <w:szCs w:val="21"/>
              </w:rPr>
              <w:t>7</w:t>
            </w:r>
            <w:r>
              <w:rPr>
                <w:rFonts w:ascii="宋体" w:hAnsi="宋体"/>
                <w:szCs w:val="21"/>
              </w:rPr>
              <w:t xml:space="preserve"> </w:t>
            </w:r>
            <w:r>
              <w:rPr>
                <w:rFonts w:hint="eastAsia" w:ascii="宋体" w:hAnsi="宋体"/>
                <w:szCs w:val="21"/>
              </w:rPr>
              <w:t>分</w:t>
            </w:r>
          </w:p>
        </w:tc>
      </w:tr>
      <w:tr>
        <w:tblPrEx>
          <w:tblLayout w:type="fixed"/>
          <w:tblCellMar>
            <w:top w:w="0" w:type="dxa"/>
            <w:left w:w="108" w:type="dxa"/>
            <w:bottom w:w="0" w:type="dxa"/>
            <w:right w:w="108" w:type="dxa"/>
          </w:tblCellMar>
        </w:tblPrEx>
        <w:trPr>
          <w:trHeight w:val="414" w:hRule="atLeast"/>
          <w:jc w:val="center"/>
        </w:trPr>
        <w:tc>
          <w:tcPr>
            <w:tcW w:w="3212" w:type="dxa"/>
            <w:vMerge w:val="restart"/>
            <w:tcBorders>
              <w:top w:val="single" w:color="auto" w:sz="6" w:space="0"/>
              <w:left w:val="single" w:color="auto" w:sz="12" w:space="0"/>
              <w:right w:val="single" w:color="auto" w:sz="6" w:space="0"/>
            </w:tcBorders>
            <w:vAlign w:val="center"/>
          </w:tcPr>
          <w:p>
            <w:pPr>
              <w:rPr>
                <w:rFonts w:ascii="宋体"/>
                <w:szCs w:val="21"/>
                <w:highlight w:val="yellow"/>
              </w:rPr>
            </w:pPr>
            <w:r>
              <w:rPr>
                <w:rFonts w:hint="eastAsia" w:ascii="宋体" w:hAnsi="宋体"/>
                <w:szCs w:val="21"/>
              </w:rPr>
              <w:t>人员保障能力（15分）</w:t>
            </w:r>
          </w:p>
        </w:tc>
        <w:tc>
          <w:tcPr>
            <w:tcW w:w="6502" w:type="dxa"/>
            <w:tcBorders>
              <w:top w:val="single" w:color="auto" w:sz="6" w:space="0"/>
              <w:left w:val="single" w:color="auto" w:sz="6" w:space="0"/>
              <w:bottom w:val="single" w:color="auto" w:sz="6" w:space="0"/>
              <w:right w:val="single" w:color="auto" w:sz="12" w:space="0"/>
            </w:tcBorders>
            <w:vAlign w:val="center"/>
          </w:tcPr>
          <w:p>
            <w:pPr>
              <w:widowControl/>
              <w:rPr>
                <w:rFonts w:ascii="宋体"/>
                <w:szCs w:val="21"/>
              </w:rPr>
            </w:pPr>
            <w:r>
              <w:rPr>
                <w:rFonts w:hint="eastAsia" w:ascii="宋体" w:hAnsi="宋体"/>
                <w:szCs w:val="21"/>
              </w:rPr>
              <w:t>投标公司具有高级专业技术人员，具有</w:t>
            </w:r>
            <w:r>
              <w:rPr>
                <w:rFonts w:ascii="宋体" w:hAnsi="宋体"/>
                <w:szCs w:val="21"/>
              </w:rPr>
              <w:t>1</w:t>
            </w:r>
            <w:r>
              <w:rPr>
                <w:rFonts w:hint="eastAsia" w:ascii="宋体" w:hAnsi="宋体"/>
                <w:szCs w:val="21"/>
              </w:rPr>
              <w:t>名得</w:t>
            </w:r>
            <w:r>
              <w:rPr>
                <w:rFonts w:ascii="宋体" w:hAnsi="宋体"/>
                <w:szCs w:val="21"/>
              </w:rPr>
              <w:t>1</w:t>
            </w:r>
            <w:r>
              <w:rPr>
                <w:rFonts w:hint="eastAsia" w:ascii="宋体" w:hAnsi="宋体"/>
                <w:szCs w:val="21"/>
              </w:rPr>
              <w:t>分，最高得1分</w:t>
            </w:r>
          </w:p>
        </w:tc>
      </w:tr>
      <w:tr>
        <w:tblPrEx>
          <w:tblLayout w:type="fixed"/>
          <w:tblCellMar>
            <w:top w:w="0" w:type="dxa"/>
            <w:left w:w="108" w:type="dxa"/>
            <w:bottom w:w="0" w:type="dxa"/>
            <w:right w:w="108" w:type="dxa"/>
          </w:tblCellMar>
        </w:tblPrEx>
        <w:trPr>
          <w:trHeight w:val="704" w:hRule="atLeast"/>
          <w:jc w:val="center"/>
        </w:trPr>
        <w:tc>
          <w:tcPr>
            <w:tcW w:w="3212" w:type="dxa"/>
            <w:vMerge w:val="continue"/>
            <w:tcBorders>
              <w:left w:val="single" w:color="auto" w:sz="12" w:space="0"/>
              <w:right w:val="single" w:color="auto" w:sz="6" w:space="0"/>
            </w:tcBorders>
            <w:vAlign w:val="center"/>
          </w:tcPr>
          <w:p>
            <w:pPr>
              <w:rPr>
                <w:rFonts w:ascii="宋体"/>
                <w:szCs w:val="21"/>
                <w:highlight w:val="yellow"/>
              </w:rPr>
            </w:pPr>
          </w:p>
        </w:tc>
        <w:tc>
          <w:tcPr>
            <w:tcW w:w="6502" w:type="dxa"/>
            <w:tcBorders>
              <w:top w:val="single" w:color="auto" w:sz="6" w:space="0"/>
              <w:left w:val="single" w:color="auto" w:sz="6" w:space="0"/>
              <w:bottom w:val="single" w:color="auto" w:sz="6" w:space="0"/>
              <w:right w:val="single" w:color="auto" w:sz="12" w:space="0"/>
            </w:tcBorders>
            <w:vAlign w:val="center"/>
          </w:tcPr>
          <w:p>
            <w:pPr>
              <w:widowControl/>
              <w:rPr>
                <w:rFonts w:ascii="宋体"/>
                <w:szCs w:val="21"/>
              </w:rPr>
            </w:pPr>
            <w:r>
              <w:rPr>
                <w:rFonts w:hint="eastAsia" w:ascii="宋体" w:hAnsi="宋体"/>
                <w:szCs w:val="21"/>
              </w:rPr>
              <w:t>投标公司具有中级专业技术人员（含注册会计师等具备专业执业资格），具有</w:t>
            </w:r>
            <w:r>
              <w:rPr>
                <w:rFonts w:ascii="宋体" w:hAnsi="宋体"/>
                <w:szCs w:val="21"/>
              </w:rPr>
              <w:t>1</w:t>
            </w:r>
            <w:r>
              <w:rPr>
                <w:rFonts w:hint="eastAsia" w:ascii="宋体" w:hAnsi="宋体"/>
                <w:szCs w:val="21"/>
              </w:rPr>
              <w:t>名得</w:t>
            </w:r>
            <w:r>
              <w:rPr>
                <w:rFonts w:ascii="宋体" w:hAnsi="宋体"/>
                <w:szCs w:val="21"/>
              </w:rPr>
              <w:t>1</w:t>
            </w:r>
            <w:r>
              <w:rPr>
                <w:rFonts w:hint="eastAsia" w:ascii="宋体" w:hAnsi="宋体"/>
                <w:szCs w:val="21"/>
              </w:rPr>
              <w:t>分，最高得5分</w:t>
            </w:r>
          </w:p>
        </w:tc>
      </w:tr>
      <w:tr>
        <w:tblPrEx>
          <w:tblLayout w:type="fixed"/>
          <w:tblCellMar>
            <w:top w:w="0" w:type="dxa"/>
            <w:left w:w="108" w:type="dxa"/>
            <w:bottom w:w="0" w:type="dxa"/>
            <w:right w:w="108" w:type="dxa"/>
          </w:tblCellMar>
        </w:tblPrEx>
        <w:trPr>
          <w:trHeight w:val="558" w:hRule="atLeast"/>
          <w:jc w:val="center"/>
        </w:trPr>
        <w:tc>
          <w:tcPr>
            <w:tcW w:w="3212" w:type="dxa"/>
            <w:vMerge w:val="continue"/>
            <w:tcBorders>
              <w:left w:val="single" w:color="auto" w:sz="12" w:space="0"/>
              <w:right w:val="single" w:color="auto" w:sz="6" w:space="0"/>
            </w:tcBorders>
            <w:vAlign w:val="center"/>
          </w:tcPr>
          <w:p>
            <w:pPr>
              <w:rPr>
                <w:rFonts w:ascii="宋体"/>
                <w:szCs w:val="21"/>
                <w:highlight w:val="yellow"/>
              </w:rPr>
            </w:pPr>
          </w:p>
        </w:tc>
        <w:tc>
          <w:tcPr>
            <w:tcW w:w="6502" w:type="dxa"/>
            <w:tcBorders>
              <w:top w:val="single" w:color="auto" w:sz="6" w:space="0"/>
              <w:left w:val="single" w:color="auto" w:sz="6" w:space="0"/>
              <w:bottom w:val="single" w:color="auto" w:sz="6" w:space="0"/>
              <w:right w:val="single" w:color="auto" w:sz="12" w:space="0"/>
            </w:tcBorders>
            <w:vAlign w:val="center"/>
          </w:tcPr>
          <w:p>
            <w:pPr>
              <w:widowControl/>
              <w:rPr>
                <w:rFonts w:ascii="宋体"/>
                <w:szCs w:val="21"/>
              </w:rPr>
            </w:pPr>
            <w:r>
              <w:rPr>
                <w:rFonts w:hint="eastAsia" w:ascii="宋体" w:hAnsi="宋体"/>
                <w:szCs w:val="21"/>
              </w:rPr>
              <w:t>投标公司具有初级专业技术人员，具有</w:t>
            </w:r>
            <w:r>
              <w:rPr>
                <w:rFonts w:ascii="宋体" w:hAnsi="宋体"/>
                <w:szCs w:val="21"/>
              </w:rPr>
              <w:t>1</w:t>
            </w:r>
            <w:r>
              <w:rPr>
                <w:rFonts w:hint="eastAsia" w:ascii="宋体" w:hAnsi="宋体"/>
                <w:szCs w:val="21"/>
              </w:rPr>
              <w:t>名得</w:t>
            </w:r>
            <w:r>
              <w:rPr>
                <w:rFonts w:ascii="宋体" w:hAnsi="宋体"/>
                <w:szCs w:val="21"/>
              </w:rPr>
              <w:t>1</w:t>
            </w:r>
            <w:r>
              <w:rPr>
                <w:rFonts w:hint="eastAsia" w:ascii="宋体" w:hAnsi="宋体"/>
                <w:szCs w:val="21"/>
              </w:rPr>
              <w:t>分，最高得5分</w:t>
            </w:r>
          </w:p>
        </w:tc>
      </w:tr>
      <w:tr>
        <w:tblPrEx>
          <w:tblLayout w:type="fixed"/>
          <w:tblCellMar>
            <w:top w:w="0" w:type="dxa"/>
            <w:left w:w="108" w:type="dxa"/>
            <w:bottom w:w="0" w:type="dxa"/>
            <w:right w:w="108" w:type="dxa"/>
          </w:tblCellMar>
        </w:tblPrEx>
        <w:trPr>
          <w:trHeight w:val="822" w:hRule="atLeast"/>
          <w:jc w:val="center"/>
        </w:trPr>
        <w:tc>
          <w:tcPr>
            <w:tcW w:w="3212" w:type="dxa"/>
            <w:vMerge w:val="continue"/>
            <w:tcBorders>
              <w:left w:val="single" w:color="auto" w:sz="12" w:space="0"/>
              <w:right w:val="single" w:color="auto" w:sz="6" w:space="0"/>
            </w:tcBorders>
            <w:vAlign w:val="center"/>
          </w:tcPr>
          <w:p>
            <w:pPr>
              <w:rPr>
                <w:rFonts w:ascii="宋体"/>
                <w:szCs w:val="21"/>
                <w:highlight w:val="yellow"/>
              </w:rPr>
            </w:pPr>
          </w:p>
        </w:tc>
        <w:tc>
          <w:tcPr>
            <w:tcW w:w="6502" w:type="dxa"/>
            <w:tcBorders>
              <w:top w:val="single" w:color="auto" w:sz="6" w:space="0"/>
              <w:left w:val="single" w:color="auto" w:sz="6" w:space="0"/>
              <w:bottom w:val="single" w:color="auto" w:sz="6" w:space="0"/>
              <w:right w:val="single" w:color="auto" w:sz="12" w:space="0"/>
            </w:tcBorders>
            <w:vAlign w:val="center"/>
          </w:tcPr>
          <w:p>
            <w:pPr>
              <w:widowControl/>
              <w:rPr>
                <w:rFonts w:ascii="宋体" w:hAnsi="宋体"/>
                <w:szCs w:val="21"/>
              </w:rPr>
            </w:pPr>
            <w:r>
              <w:rPr>
                <w:rFonts w:hint="eastAsia" w:ascii="宋体" w:hAnsi="宋体"/>
                <w:szCs w:val="21"/>
              </w:rPr>
              <w:t>投标公司具有专业技术人员外的其他工作人员，具有</w:t>
            </w:r>
            <w:r>
              <w:rPr>
                <w:rFonts w:ascii="宋体" w:hAnsi="宋体"/>
                <w:szCs w:val="21"/>
              </w:rPr>
              <w:t>1</w:t>
            </w:r>
            <w:r>
              <w:rPr>
                <w:rFonts w:hint="eastAsia" w:ascii="宋体" w:hAnsi="宋体"/>
                <w:szCs w:val="21"/>
              </w:rPr>
              <w:t>名得0.5分，最高得4分</w:t>
            </w:r>
          </w:p>
        </w:tc>
      </w:tr>
      <w:tr>
        <w:tblPrEx>
          <w:tblLayout w:type="fixed"/>
          <w:tblCellMar>
            <w:top w:w="0" w:type="dxa"/>
            <w:left w:w="108" w:type="dxa"/>
            <w:bottom w:w="0" w:type="dxa"/>
            <w:right w:w="108" w:type="dxa"/>
          </w:tblCellMar>
        </w:tblPrEx>
        <w:trPr>
          <w:trHeight w:val="418" w:hRule="atLeast"/>
          <w:jc w:val="center"/>
        </w:trPr>
        <w:tc>
          <w:tcPr>
            <w:tcW w:w="3212" w:type="dxa"/>
            <w:tcBorders>
              <w:top w:val="single" w:color="auto" w:sz="6" w:space="0"/>
              <w:left w:val="single" w:color="auto" w:sz="12" w:space="0"/>
              <w:bottom w:val="single" w:color="auto" w:sz="6" w:space="0"/>
              <w:right w:val="single" w:color="auto" w:sz="6" w:space="0"/>
            </w:tcBorders>
            <w:vAlign w:val="center"/>
          </w:tcPr>
          <w:p>
            <w:pPr>
              <w:rPr>
                <w:rFonts w:ascii="宋体"/>
                <w:szCs w:val="21"/>
                <w:highlight w:val="yellow"/>
              </w:rPr>
            </w:pPr>
            <w:r>
              <w:rPr>
                <w:rFonts w:hint="eastAsia" w:ascii="宋体" w:hAnsi="宋体"/>
                <w:szCs w:val="21"/>
              </w:rPr>
              <w:t>提供第三方评价服务机构办公场所与公司情况（5分）</w:t>
            </w:r>
          </w:p>
        </w:tc>
        <w:tc>
          <w:tcPr>
            <w:tcW w:w="6502" w:type="dxa"/>
            <w:tcBorders>
              <w:top w:val="single" w:color="auto" w:sz="6" w:space="0"/>
              <w:left w:val="single" w:color="auto" w:sz="6" w:space="0"/>
              <w:bottom w:val="single" w:color="auto" w:sz="6" w:space="0"/>
              <w:right w:val="single" w:color="auto" w:sz="12" w:space="0"/>
            </w:tcBorders>
            <w:vAlign w:val="center"/>
          </w:tcPr>
          <w:p>
            <w:pPr>
              <w:spacing w:before="50" w:after="50" w:line="360" w:lineRule="auto"/>
              <w:rPr>
                <w:rFonts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投标人企业为在广州市内登记注册的企业或在广州市内有工商登记注册分支机构的服务机构驻点的可得5分；</w:t>
            </w:r>
          </w:p>
          <w:p>
            <w:pPr>
              <w:spacing w:before="50" w:after="50" w:line="360" w:lineRule="auto"/>
              <w:rPr>
                <w:rFonts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投标人企业为在广东省内登记注册的企业或在广东省内有工商登记注册分支机构的服务机构驻点的可得3分；</w:t>
            </w:r>
          </w:p>
          <w:p>
            <w:pPr>
              <w:spacing w:before="50" w:after="50" w:line="360" w:lineRule="auto"/>
              <w:rPr>
                <w:rFonts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投标人企业为在广东省外登记注册的企业可得1分。</w:t>
            </w:r>
          </w:p>
          <w:p>
            <w:pPr>
              <w:widowControl/>
              <w:jc w:val="left"/>
              <w:rPr>
                <w:rFonts w:ascii="宋体" w:hAnsi="宋体"/>
                <w:szCs w:val="21"/>
              </w:rPr>
            </w:pPr>
            <w:r>
              <w:rPr>
                <w:rFonts w:hint="eastAsia" w:ascii="宋体" w:hAnsi="宋体"/>
                <w:szCs w:val="21"/>
              </w:rPr>
              <w:t>其余不得分，本项最高可得5分。</w:t>
            </w:r>
          </w:p>
        </w:tc>
      </w:tr>
    </w:tbl>
    <w:p>
      <w:pPr>
        <w:rPr>
          <w:rFonts w:ascii="宋体" w:hAnsi="宋体"/>
          <w:b/>
          <w:bCs/>
          <w:color w:val="000000"/>
          <w:szCs w:val="21"/>
        </w:rPr>
      </w:pPr>
      <w:r>
        <w:rPr>
          <w:rFonts w:hint="eastAsia" w:ascii="宋体" w:hAnsi="宋体"/>
          <w:b/>
          <w:bCs/>
          <w:color w:val="000000"/>
          <w:szCs w:val="21"/>
        </w:rPr>
        <w:t>备注：仅对已通过初步评审的投标文件进行评分；评分小数点保留至</w:t>
      </w:r>
      <w:r>
        <w:rPr>
          <w:rFonts w:ascii="宋体" w:hAnsi="宋体"/>
          <w:b/>
          <w:bCs/>
          <w:color w:val="000000"/>
          <w:szCs w:val="21"/>
        </w:rPr>
        <w:t>0.1</w:t>
      </w:r>
      <w:r>
        <w:rPr>
          <w:rFonts w:hint="eastAsia" w:ascii="宋体" w:hAnsi="宋体"/>
          <w:b/>
          <w:bCs/>
          <w:color w:val="000000"/>
          <w:szCs w:val="21"/>
        </w:rPr>
        <w:t>。</w:t>
      </w:r>
    </w:p>
    <w:p>
      <w:pPr>
        <w:rPr>
          <w:rFonts w:ascii="宋体" w:hAnsi="宋体"/>
          <w:sz w:val="28"/>
          <w:szCs w:val="28"/>
        </w:rPr>
      </w:pPr>
    </w:p>
    <w:p>
      <w:pPr>
        <w:rPr>
          <w:rFonts w:ascii="宋体" w:hAnsi="宋体"/>
          <w:sz w:val="28"/>
          <w:szCs w:val="28"/>
        </w:rPr>
      </w:pPr>
    </w:p>
    <w:p>
      <w:pPr>
        <w:spacing w:after="156" w:afterLines="50" w:line="360" w:lineRule="auto"/>
        <w:rPr>
          <w:rFonts w:ascii="宋体" w:hAnsi="宋体"/>
          <w:b/>
          <w:sz w:val="28"/>
          <w:szCs w:val="28"/>
        </w:rPr>
      </w:pPr>
    </w:p>
    <w:p/>
    <w:sectPr>
      <w:pgSz w:w="11906" w:h="16838"/>
      <w:pgMar w:top="1531" w:right="1531" w:bottom="1701"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A6CDA"/>
    <w:rsid w:val="3277495E"/>
    <w:rsid w:val="48FA6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2018-02-07T08:43:00Z</dcterms:created>
  <dc:creator>杨婷婷</dc:creator>
  <cp:lastModifiedBy>杨婷婷</cp:lastModifiedBy>
  <dcterms:modified xsi:type="dcterms:W3CDTF">2018-02-07T08:46:09Z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